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5ECE" w14:textId="29E3F653" w:rsidR="00AB19D7" w:rsidRPr="00623C91" w:rsidRDefault="00063919" w:rsidP="00623C91">
      <w:pPr>
        <w:jc w:val="center"/>
        <w:rPr>
          <w:b/>
          <w:sz w:val="32"/>
        </w:rPr>
      </w:pPr>
      <w:r w:rsidRPr="00623C91">
        <w:rPr>
          <w:b/>
          <w:sz w:val="32"/>
        </w:rPr>
        <w:t>I</w:t>
      </w:r>
      <w:r w:rsidR="00623C91" w:rsidRPr="00623C91">
        <w:rPr>
          <w:b/>
          <w:sz w:val="32"/>
        </w:rPr>
        <w:t>’ll</w:t>
      </w:r>
      <w:r w:rsidRPr="00623C91">
        <w:rPr>
          <w:b/>
          <w:sz w:val="32"/>
        </w:rPr>
        <w:t xml:space="preserve"> wait for my CGA, interest rates are going up.</w:t>
      </w:r>
    </w:p>
    <w:p w14:paraId="77EE2E8C" w14:textId="0F394538" w:rsidR="00063919" w:rsidRDefault="00A477E0" w:rsidP="00A477E0">
      <w:pPr>
        <w:ind w:left="720"/>
      </w:pPr>
      <w:r w:rsidRPr="00A477E0">
        <w:rPr>
          <w:b/>
        </w:rPr>
        <w:t xml:space="preserve">Probable donor says: </w:t>
      </w:r>
      <w:r w:rsidR="00063919">
        <w:t xml:space="preserve">“I just heard on CNBC that interest rates are going up.  </w:t>
      </w:r>
      <w:r>
        <w:t xml:space="preserve">I have your </w:t>
      </w:r>
      <w:r w:rsidR="00063919">
        <w:t xml:space="preserve">CGA proposal </w:t>
      </w:r>
      <w:r>
        <w:t xml:space="preserve">in hand </w:t>
      </w:r>
      <w:r w:rsidR="00063919">
        <w:t xml:space="preserve">but </w:t>
      </w:r>
      <w:r>
        <w:t xml:space="preserve">I </w:t>
      </w:r>
      <w:r w:rsidR="00063919">
        <w:t>think I will wait a little while to see if this is the right move for me.”</w:t>
      </w:r>
    </w:p>
    <w:p w14:paraId="077CAD3E" w14:textId="6013A6E9" w:rsidR="00063919" w:rsidRDefault="00A477E0">
      <w:r>
        <w:t xml:space="preserve">Lately, </w:t>
      </w:r>
      <w:r w:rsidR="00063919">
        <w:t xml:space="preserve">I am beginning to hear the above from those with good </w:t>
      </w:r>
      <w:r>
        <w:t xml:space="preserve">intentions </w:t>
      </w:r>
      <w:r w:rsidR="00063919">
        <w:t>but not great charitable motiva</w:t>
      </w:r>
      <w:r>
        <w:t xml:space="preserve">tion.  They are </w:t>
      </w:r>
      <w:r w:rsidR="00063919">
        <w:t>concerned they will get a better deal if th</w:t>
      </w:r>
      <w:r>
        <w:t>ey</w:t>
      </w:r>
      <w:r w:rsidR="00063919">
        <w:t xml:space="preserve"> postpone acting on their CGA proposal.</w:t>
      </w:r>
      <w:bookmarkStart w:id="0" w:name="_GoBack"/>
      <w:bookmarkEnd w:id="0"/>
    </w:p>
    <w:p w14:paraId="550EEB14" w14:textId="7D2F40CB" w:rsidR="00063919" w:rsidRDefault="00063919">
      <w:r>
        <w:t>Let’s step back and examine if this is truly a good “</w:t>
      </w:r>
      <w:r w:rsidR="00A477E0">
        <w:t>strategy</w:t>
      </w:r>
      <w:r>
        <w:t xml:space="preserve">” </w:t>
      </w:r>
      <w:r w:rsidR="00A477E0">
        <w:t>waiting to make a gift.</w:t>
      </w:r>
    </w:p>
    <w:p w14:paraId="385D4A03" w14:textId="70AEB444" w:rsidR="00063919" w:rsidRDefault="00063919">
      <w:r>
        <w:t>Let’s start with the basic</w:t>
      </w:r>
      <w:r w:rsidR="00A477E0">
        <w:t>s</w:t>
      </w:r>
      <w:r>
        <w:t>.  As you probably know a CGA is an irrevocable agreement with the terms outlined in the signed agreement.  The agreement lists both the payment amount an</w:t>
      </w:r>
      <w:r w:rsidR="00A477E0">
        <w:t xml:space="preserve">d frequency.  Quarterly are the most common frequency </w:t>
      </w:r>
      <w:r>
        <w:t>selected</w:t>
      </w:r>
      <w:r w:rsidR="00A477E0">
        <w:t xml:space="preserve"> as it matches most </w:t>
      </w:r>
      <w:r>
        <w:t xml:space="preserve">dividend payments from </w:t>
      </w:r>
      <w:r w:rsidR="008A5A59">
        <w:t>securities</w:t>
      </w:r>
      <w:r>
        <w:t>.</w:t>
      </w:r>
    </w:p>
    <w:p w14:paraId="6DED3692" w14:textId="28665F0C" w:rsidR="00063919" w:rsidRDefault="00765F65">
      <w:r>
        <w:t>T</w:t>
      </w:r>
      <w:r w:rsidR="00063919">
        <w:t xml:space="preserve">here are two important </w:t>
      </w:r>
      <w:r w:rsidR="004418D0">
        <w:t>aspects of a CGA.  First, i</w:t>
      </w:r>
      <w:r w:rsidR="00063919">
        <w:t xml:space="preserve">t is part gift and part </w:t>
      </w:r>
      <w:r w:rsidR="004418D0">
        <w:t xml:space="preserve">return of capital sometime thought of as an </w:t>
      </w:r>
      <w:r w:rsidR="00063919">
        <w:t>investment</w:t>
      </w:r>
      <w:r w:rsidR="004418D0">
        <w:t>.  F</w:t>
      </w:r>
      <w:r w:rsidR="00063919">
        <w:t xml:space="preserve">or those who itemized </w:t>
      </w:r>
      <w:r w:rsidR="004418D0">
        <w:t xml:space="preserve">this deduction </w:t>
      </w:r>
      <w:r w:rsidR="00063919">
        <w:t>reduces the cost of the gift by the taxes saved</w:t>
      </w:r>
      <w:r w:rsidR="004418D0">
        <w:t>. Second, g</w:t>
      </w:r>
      <w:r w:rsidR="00063919">
        <w:t xml:space="preserve">ift annuities produce tax-free </w:t>
      </w:r>
      <w:r w:rsidR="004418D0">
        <w:t>payments</w:t>
      </w:r>
      <w:r w:rsidR="00063919">
        <w:t xml:space="preserve">.  Tax-free </w:t>
      </w:r>
      <w:r w:rsidR="004418D0">
        <w:t>payments are better than taxable payments.</w:t>
      </w:r>
      <w:r w:rsidR="00063919">
        <w:t xml:space="preserve">  The tax-free payment amount ends in the future when the annuitant reaches their IRS determined life expectancy.  Normally this may be 10-20 years in the future.</w:t>
      </w:r>
    </w:p>
    <w:p w14:paraId="5A544C96" w14:textId="0CD278C5" w:rsidR="00063919" w:rsidRDefault="00063919">
      <w:r>
        <w:t>Com</w:t>
      </w:r>
      <w:r w:rsidR="004418D0">
        <w:t xml:space="preserve">bining these two benefits </w:t>
      </w:r>
      <w:r>
        <w:t>determines the taxable equivalent yield from the CGA.</w:t>
      </w:r>
    </w:p>
    <w:p w14:paraId="273F535A" w14:textId="1ED51204" w:rsidR="00C42D1A" w:rsidRDefault="00287A71">
      <w:r>
        <w:rPr>
          <w:noProof/>
        </w:rPr>
        <w:drawing>
          <wp:anchor distT="0" distB="0" distL="114300" distR="114300" simplePos="0" relativeHeight="251658240" behindDoc="0" locked="0" layoutInCell="1" allowOverlap="1" wp14:anchorId="721C297F" wp14:editId="620EFE4A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4962525" cy="3458210"/>
            <wp:effectExtent l="0" t="0" r="9525" b="8890"/>
            <wp:wrapSquare wrapText="bothSides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F0498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24A" w:rsidRPr="00623C91">
        <w:rPr>
          <w:b/>
          <w:color w:val="4472C4" w:themeColor="accent1"/>
        </w:rPr>
        <w:t>How fast do interest rates move upwards or downwards</w:t>
      </w:r>
      <w:r w:rsidR="0075324A" w:rsidRPr="00623C91">
        <w:rPr>
          <w:color w:val="4472C4" w:themeColor="accent1"/>
        </w:rPr>
        <w:t xml:space="preserve">?  </w:t>
      </w:r>
      <w:r w:rsidR="0075324A">
        <w:t xml:space="preserve">To examine </w:t>
      </w:r>
      <w:r w:rsidR="003110E1">
        <w:t>this,</w:t>
      </w:r>
      <w:r w:rsidR="0075324A">
        <w:t xml:space="preserve"> take a look at interest rates from 1999 to 2016 as reflected in the monthly AFR produced by the IRS.  The AFR represents </w:t>
      </w:r>
      <w:r w:rsidR="00C42D1A" w:rsidRPr="00C42D1A">
        <w:t>120% of the Federal Midterm Rate rounded to the nearest two-tenths.</w:t>
      </w:r>
      <w:r w:rsidR="0075324A">
        <w:t xml:space="preserve">  </w:t>
      </w:r>
      <w:r w:rsidR="00765F65">
        <w:t>C</w:t>
      </w:r>
      <w:r w:rsidR="0075324A">
        <w:t xml:space="preserve">alculated </w:t>
      </w:r>
      <w:r w:rsidR="003110E1">
        <w:t xml:space="preserve">monthly it is also known as </w:t>
      </w:r>
      <w:r w:rsidR="003110E1">
        <w:lastRenderedPageBreak/>
        <w:t>the Section</w:t>
      </w:r>
      <w:r w:rsidR="004418D0">
        <w:t xml:space="preserve">7520 </w:t>
      </w:r>
      <w:r>
        <w:t>rate. The</w:t>
      </w:r>
      <w:r w:rsidR="0075324A">
        <w:t xml:space="preserve"> red boxes show some of the highs and lows from a high of 8.2% in March 2000 to a low of 1.0% in August 2012.  Even if you add the current rates of 2.5% for January 2017 and 2.6% for </w:t>
      </w:r>
      <w:r w:rsidR="00C42D1A">
        <w:t>F</w:t>
      </w:r>
      <w:r w:rsidR="0075324A">
        <w:t>ebruary 2017 you are far from the early year highs.</w:t>
      </w:r>
    </w:p>
    <w:p w14:paraId="2C64CF9B" w14:textId="6C9C9A72" w:rsidR="00C42D1A" w:rsidRDefault="00C42D1A">
      <w:r>
        <w:t>Let’s examine</w:t>
      </w:r>
      <w:r w:rsidR="004418D0">
        <w:t xml:space="preserve"> two examples to show probable donors they should not wait to make their gift.</w:t>
      </w:r>
    </w:p>
    <w:p w14:paraId="520C8F62" w14:textId="0B63B75C" w:rsidR="004418D0" w:rsidRDefault="00287A71">
      <w:r>
        <w:rPr>
          <w:noProof/>
        </w:rPr>
        <w:drawing>
          <wp:anchor distT="0" distB="0" distL="114300" distR="114300" simplePos="0" relativeHeight="251659264" behindDoc="0" locked="0" layoutInCell="1" allowOverlap="1" wp14:anchorId="4EDE0BA9" wp14:editId="50AA47E1">
            <wp:simplePos x="0" y="0"/>
            <wp:positionH relativeFrom="column">
              <wp:posOffset>-647700</wp:posOffset>
            </wp:positionH>
            <wp:positionV relativeFrom="paragraph">
              <wp:posOffset>1049020</wp:posOffset>
            </wp:positionV>
            <wp:extent cx="6591300" cy="4523105"/>
            <wp:effectExtent l="0" t="0" r="0" b="0"/>
            <wp:wrapSquare wrapText="bothSides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077F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18D0">
        <w:t xml:space="preserve">First example is for Mr. Thomas age 67 who has a $10,000 </w:t>
      </w:r>
      <w:r w:rsidR="00765F65">
        <w:t xml:space="preserve">revocable </w:t>
      </w:r>
      <w:r w:rsidR="004418D0">
        <w:t>certificate of deposit (CD) maturing and might consider a transfer to a</w:t>
      </w:r>
      <w:r w:rsidR="00765F65">
        <w:t xml:space="preserve">n irrevocable </w:t>
      </w:r>
      <w:r w:rsidR="004418D0">
        <w:t>CGA to increase his annual income.  He could rollover his CD perhaps to a 5-year CD and receive 2.0% annually or he could consider other investment options such as a bond fund.  But he wants to make a gift and a gift annuity seems like a reasonable alternative considering his financial state in life.</w:t>
      </w:r>
    </w:p>
    <w:p w14:paraId="0E41C44E" w14:textId="0D831387" w:rsidR="004418D0" w:rsidRDefault="00D361FC">
      <w:r>
        <w:t>As you can see Mr. Thomas will receive 4.80%</w:t>
      </w:r>
      <w:r w:rsidR="00765F65">
        <w:t xml:space="preserve"> payment </w:t>
      </w:r>
      <w:r>
        <w:t>and a $3,312 charitable deduction.  With $365.26 of his $480.00 annual income received tax-free until 203</w:t>
      </w:r>
      <w:r w:rsidR="00B16408">
        <w:t>6 or for 19</w:t>
      </w:r>
      <w:r>
        <w:t xml:space="preserve"> years.</w:t>
      </w:r>
    </w:p>
    <w:p w14:paraId="795A134B" w14:textId="7743555E" w:rsidR="00D361FC" w:rsidRDefault="00D361FC">
      <w:pPr>
        <w:rPr>
          <w:b/>
        </w:rPr>
      </w:pPr>
      <w:r w:rsidRPr="00623C91">
        <w:rPr>
          <w:b/>
          <w:color w:val="4472C4" w:themeColor="accent1"/>
        </w:rPr>
        <w:t xml:space="preserve">What about interest rate increases?  </w:t>
      </w:r>
      <w:r w:rsidRPr="00D361FC">
        <w:t>To examine</w:t>
      </w:r>
      <w:r>
        <w:t xml:space="preserve"> this question, we need to construct a simple Excel spreadsheet.  </w:t>
      </w:r>
      <w:r w:rsidR="00765F65">
        <w:t xml:space="preserve">I start </w:t>
      </w:r>
      <w:r>
        <w:t xml:space="preserve">with a </w:t>
      </w:r>
      <w:r w:rsidR="00B16408">
        <w:t>base</w:t>
      </w:r>
      <w:r>
        <w:t xml:space="preserve"> interest rate of .05% and increas</w:t>
      </w:r>
      <w:r w:rsidR="00765F65">
        <w:t>e</w:t>
      </w:r>
      <w:r>
        <w:t xml:space="preserve"> that rate by .05% each year</w:t>
      </w:r>
      <w:r w:rsidR="00765F65">
        <w:t xml:space="preserve">.  As the below spreadsheet shows </w:t>
      </w:r>
      <w:r>
        <w:t>it takes 17 years</w:t>
      </w:r>
      <w:r w:rsidR="00B16408">
        <w:t xml:space="preserve"> for the cumulative after tax payment</w:t>
      </w:r>
      <w:r w:rsidR="00765F65">
        <w:t>s</w:t>
      </w:r>
      <w:r w:rsidR="00B16408">
        <w:t xml:space="preserve"> from the 1 year CD to equal the after tax cumulative payments from the gift annuity.  Since taxes play a </w:t>
      </w:r>
      <w:r w:rsidR="00765F65">
        <w:t xml:space="preserve">role with the spendable income taxes </w:t>
      </w:r>
      <w:r w:rsidR="00B16408">
        <w:t>are subtracted</w:t>
      </w:r>
      <w:r w:rsidR="00765F65">
        <w:t xml:space="preserve"> at a</w:t>
      </w:r>
      <w:r w:rsidR="00B16408">
        <w:t xml:space="preserve"> 25% rate from both the CD payment and the gift annuity</w:t>
      </w:r>
      <w:r w:rsidR="00765F65">
        <w:t xml:space="preserve"> payment</w:t>
      </w:r>
      <w:r w:rsidR="00B16408">
        <w:t>.</w:t>
      </w:r>
    </w:p>
    <w:p w14:paraId="547E7E8D" w14:textId="28CE8696" w:rsidR="00D361FC" w:rsidRDefault="00D8057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A2904EC" wp14:editId="3DB038DE">
            <wp:extent cx="5210902" cy="5029902"/>
            <wp:effectExtent l="0" t="0" r="889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F0678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EA6F" w14:textId="3C53134D" w:rsidR="00E976C4" w:rsidRDefault="00E976C4" w:rsidP="00623C91">
      <w:pPr>
        <w:ind w:left="720"/>
        <w:rPr>
          <w:b/>
        </w:rPr>
      </w:pPr>
      <w:r>
        <w:rPr>
          <w:b/>
        </w:rPr>
        <w:t>Mr. Thomas has a decision to make</w:t>
      </w:r>
      <w:r w:rsidR="0053250C">
        <w:rPr>
          <w:b/>
        </w:rPr>
        <w:t>.  W</w:t>
      </w:r>
      <w:r>
        <w:rPr>
          <w:b/>
        </w:rPr>
        <w:t xml:space="preserve">ill he play the interest rate increase </w:t>
      </w:r>
      <w:r w:rsidR="0053250C">
        <w:rPr>
          <w:b/>
        </w:rPr>
        <w:t xml:space="preserve">possibility </w:t>
      </w:r>
      <w:r>
        <w:rPr>
          <w:b/>
        </w:rPr>
        <w:t>or settle for a stable and guaranteed lifetime income with fixed known tax-free payments.  I think considering he will be age 83 when he breaks even the safe and sound decision would be to do the gift annuity.</w:t>
      </w:r>
    </w:p>
    <w:p w14:paraId="49FCAD15" w14:textId="607237C8" w:rsidR="00E976C4" w:rsidRDefault="00E976C4"/>
    <w:p w14:paraId="18D2D7F3" w14:textId="7E3F4D10" w:rsidR="00E976C4" w:rsidRDefault="00E976C4">
      <w:r w:rsidRPr="00623C91">
        <w:rPr>
          <w:b/>
          <w:color w:val="4472C4" w:themeColor="accent1"/>
        </w:rPr>
        <w:t>How about a gift annuity funded with appreciated assets?</w:t>
      </w:r>
      <w:r w:rsidRPr="00623C91">
        <w:rPr>
          <w:color w:val="4472C4" w:themeColor="accent1"/>
        </w:rPr>
        <w:t xml:space="preserve">  </w:t>
      </w:r>
      <w:r>
        <w:t xml:space="preserve">Does the same reasoning prevail when a portion of the </w:t>
      </w:r>
      <w:r w:rsidR="0053250C">
        <w:t xml:space="preserve">payments are </w:t>
      </w:r>
      <w:r w:rsidR="00790553">
        <w:t xml:space="preserve"> taxed at capital gains rates</w:t>
      </w:r>
      <w:r>
        <w:t>?</w:t>
      </w:r>
    </w:p>
    <w:p w14:paraId="4A82D87A" w14:textId="1E897C6C" w:rsidR="00790553" w:rsidRDefault="00790553">
      <w:r>
        <w:t>Let’s examine the case of Mr. and Mrs. White</w:t>
      </w:r>
      <w:r w:rsidR="0053250C">
        <w:t xml:space="preserve"> both age 70</w:t>
      </w:r>
      <w:r>
        <w:t xml:space="preserve">.  They have a long term holding of several thousand share of ABC stock with a purchase price of $25,000 that is now worth $100,000.  </w:t>
      </w:r>
      <w:r w:rsidR="0053250C">
        <w:t xml:space="preserve">Because they are </w:t>
      </w:r>
      <w:r>
        <w:t xml:space="preserve">both age 70 </w:t>
      </w:r>
      <w:r w:rsidR="0053250C">
        <w:t>the CGA payment would be 4.60%</w:t>
      </w:r>
      <w:r>
        <w:t>.</w:t>
      </w:r>
    </w:p>
    <w:p w14:paraId="63A0B645" w14:textId="7C037D31" w:rsidR="00790553" w:rsidRDefault="00790553">
      <w:r>
        <w:t>They receive a charitable deduction of $</w:t>
      </w:r>
      <w:r w:rsidR="00623C91">
        <w:t>32,275</w:t>
      </w:r>
      <w:r>
        <w:t xml:space="preserve"> and the capital gain associated with their tax deduction amount </w:t>
      </w:r>
      <w:r w:rsidR="00623C91">
        <w:t>($24,562)</w:t>
      </w:r>
      <w:r w:rsidR="000F21BF">
        <w:t xml:space="preserve"> </w:t>
      </w:r>
      <w:r>
        <w:t>is never taxed.</w:t>
      </w:r>
    </w:p>
    <w:p w14:paraId="133AFD49" w14:textId="37194DA2" w:rsidR="00790553" w:rsidRDefault="00790553">
      <w:r>
        <w:lastRenderedPageBreak/>
        <w:t>Of that $4,600 payment $</w:t>
      </w:r>
      <w:r w:rsidR="00623C91">
        <w:t>825.04</w:t>
      </w:r>
      <w:r>
        <w:t xml:space="preserve"> is tax-free, $</w:t>
      </w:r>
      <w:r w:rsidR="00623C91">
        <w:t xml:space="preserve">2,477.76 </w:t>
      </w:r>
      <w:r>
        <w:t>is capital gain and the balance</w:t>
      </w:r>
      <w:r w:rsidR="00623C91">
        <w:t xml:space="preserve"> ($1.297.20)</w:t>
      </w:r>
      <w:r>
        <w:t xml:space="preserve"> is taxed at ordinary income rates. </w:t>
      </w:r>
    </w:p>
    <w:p w14:paraId="60C41066" w14:textId="294AAB04" w:rsidR="00623C91" w:rsidRDefault="00623C91">
      <w:pPr>
        <w:rPr>
          <w:b/>
        </w:rPr>
      </w:pPr>
      <w:r>
        <w:rPr>
          <w:b/>
          <w:noProof/>
        </w:rPr>
        <w:drawing>
          <wp:inline distT="0" distB="0" distL="0" distR="0" wp14:anchorId="2C22C998" wp14:editId="40ABBF68">
            <wp:extent cx="5943600" cy="3947795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F0C4E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F8C73" w14:textId="0144798A" w:rsidR="00287A71" w:rsidRDefault="0053250C">
      <w:pPr>
        <w:rPr>
          <w:b/>
        </w:rPr>
      </w:pPr>
      <w:r>
        <w:rPr>
          <w:b/>
        </w:rPr>
        <w:t>My comparison</w:t>
      </w:r>
      <w:r w:rsidR="00287A71">
        <w:rPr>
          <w:b/>
        </w:rPr>
        <w:t xml:space="preserve"> increase interest rates at 1.00% per year and subtract</w:t>
      </w:r>
      <w:r w:rsidR="00E82A39">
        <w:rPr>
          <w:b/>
        </w:rPr>
        <w:t>s</w:t>
      </w:r>
      <w:r w:rsidR="00287A71">
        <w:rPr>
          <w:b/>
        </w:rPr>
        <w:t xml:space="preserve"> income and capital gains taxes from each</w:t>
      </w:r>
      <w:r w:rsidR="00E82A39">
        <w:rPr>
          <w:b/>
        </w:rPr>
        <w:t xml:space="preserve"> CD and annuity </w:t>
      </w:r>
      <w:r w:rsidR="00287A71">
        <w:rPr>
          <w:b/>
        </w:rPr>
        <w:t>payment.  When does a CD return outpace the net spendable income from a gift annuity?</w:t>
      </w:r>
    </w:p>
    <w:p w14:paraId="440B2293" w14:textId="3F1E2EC5" w:rsidR="00DA0D7E" w:rsidRDefault="00DA0D7E">
      <w:r w:rsidRPr="00DA0D7E">
        <w:t>As t</w:t>
      </w:r>
      <w:r>
        <w:t>he below Excel spreadsheet shows when you subtract the taxes from the payment it significantly decreases the point at which a CD rate increase will outstrip the cumulative payments from a gift annuity.  In our example in 10 years when the donors both will be age 80 the 1 year rollover CD beats the gift annuity.</w:t>
      </w:r>
    </w:p>
    <w:p w14:paraId="03F519E8" w14:textId="1F3213FD" w:rsidR="00DA0D7E" w:rsidRPr="00DA0D7E" w:rsidRDefault="00E82A39">
      <w:r>
        <w:t xml:space="preserve">What are the odds </w:t>
      </w:r>
      <w:r w:rsidR="00DA0D7E">
        <w:t xml:space="preserve">the one year CD rate which is currently around 1.05% will increase 1.00% per year?  Well anything is possible but I don’t suspect interest rates will increase to 12+% during my lifetime so I would feel confident in suggesting to </w:t>
      </w:r>
      <w:r>
        <w:t xml:space="preserve">these </w:t>
      </w:r>
      <w:r w:rsidR="00DA0D7E">
        <w:t>donors the wonderful advantages of a gift annuity to support their favorite charity.</w:t>
      </w:r>
    </w:p>
    <w:p w14:paraId="6F33A732" w14:textId="4ABB9A4E" w:rsidR="00287A71" w:rsidRDefault="00E82A3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D72CB25" wp14:editId="2E8578D8">
            <wp:extent cx="5943600" cy="4118610"/>
            <wp:effectExtent l="0" t="0" r="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CCF1B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D93A" w14:textId="0115979B" w:rsidR="00B364EE" w:rsidRDefault="00B364EE">
      <w:pPr>
        <w:rPr>
          <w:b/>
        </w:rPr>
      </w:pPr>
    </w:p>
    <w:p w14:paraId="7704E25A" w14:textId="391A3EEB" w:rsidR="00B364EE" w:rsidRDefault="00B364EE">
      <w:pPr>
        <w:rPr>
          <w:b/>
        </w:rPr>
      </w:pPr>
      <w:r>
        <w:rPr>
          <w:b/>
        </w:rPr>
        <w:t xml:space="preserve">For comments or concerns email me at </w:t>
      </w:r>
      <w:hyperlink r:id="rId11" w:history="1">
        <w:r w:rsidRPr="00560A5E">
          <w:rPr>
            <w:rStyle w:val="Hyperlink"/>
          </w:rPr>
          <w:t>james@connellandassoc.com</w:t>
        </w:r>
      </w:hyperlink>
      <w:r>
        <w:rPr>
          <w:b/>
        </w:rPr>
        <w:t xml:space="preserve"> </w:t>
      </w:r>
    </w:p>
    <w:p w14:paraId="0DCBAF5C" w14:textId="138BD5F5" w:rsidR="003C3732" w:rsidRPr="00087BA2" w:rsidRDefault="004277D9" w:rsidP="003C3732">
      <w:pPr>
        <w:jc w:val="center"/>
        <w:rPr>
          <w:b/>
          <w:bCs/>
          <w:sz w:val="28"/>
          <w:szCs w:val="28"/>
        </w:rPr>
      </w:pPr>
      <w:r>
        <w:rPr>
          <w:rFonts w:asciiTheme="minorHAnsi" w:hAnsiTheme="minorHAnsi"/>
          <w:noProof/>
          <w:szCs w:val="24"/>
        </w:rPr>
        <w:drawing>
          <wp:anchor distT="57150" distB="57150" distL="57150" distR="57150" simplePos="0" relativeHeight="251661312" behindDoc="0" locked="0" layoutInCell="1" allowOverlap="1" wp14:anchorId="5B1D4ACE" wp14:editId="10124933">
            <wp:simplePos x="0" y="0"/>
            <wp:positionH relativeFrom="margin">
              <wp:posOffset>160655</wp:posOffset>
            </wp:positionH>
            <wp:positionV relativeFrom="margin">
              <wp:posOffset>4916170</wp:posOffset>
            </wp:positionV>
            <wp:extent cx="1300480" cy="1200150"/>
            <wp:effectExtent l="0" t="0" r="0" b="0"/>
            <wp:wrapSquare wrapText="larges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732">
        <w:rPr>
          <w:lang w:val="en-CA"/>
        </w:rPr>
        <w:fldChar w:fldCharType="begin"/>
      </w:r>
      <w:r w:rsidR="003C3732">
        <w:rPr>
          <w:lang w:val="en-CA"/>
        </w:rPr>
        <w:instrText xml:space="preserve"> SEQ CHAPTER \h \r 1</w:instrText>
      </w:r>
      <w:r w:rsidR="003C3732">
        <w:rPr>
          <w:lang w:val="en-CA"/>
        </w:rPr>
        <w:fldChar w:fldCharType="end"/>
      </w:r>
      <w:r w:rsidR="003C3732">
        <w:rPr>
          <w:b/>
          <w:bCs/>
          <w:sz w:val="28"/>
          <w:szCs w:val="28"/>
        </w:rPr>
        <w:t xml:space="preserve"> </w:t>
      </w:r>
      <w:r w:rsidR="003C3732" w:rsidRPr="00087BA2">
        <w:rPr>
          <w:b/>
          <w:bCs/>
          <w:i/>
          <w:iCs/>
          <w:color w:val="0000FF"/>
          <w:sz w:val="40"/>
          <w:szCs w:val="40"/>
        </w:rPr>
        <w:t xml:space="preserve">JAMES E. CONNELL </w:t>
      </w:r>
      <w:r w:rsidR="003C3732">
        <w:rPr>
          <w:b/>
          <w:bCs/>
          <w:i/>
          <w:iCs/>
          <w:color w:val="0000FF"/>
          <w:sz w:val="40"/>
          <w:szCs w:val="40"/>
        </w:rPr>
        <w:t>&amp;</w:t>
      </w:r>
      <w:r w:rsidR="003C3732" w:rsidRPr="00087BA2">
        <w:rPr>
          <w:b/>
          <w:bCs/>
          <w:i/>
          <w:iCs/>
          <w:color w:val="0000FF"/>
          <w:sz w:val="40"/>
          <w:szCs w:val="40"/>
        </w:rPr>
        <w:t>ASSOCIATES</w:t>
      </w:r>
    </w:p>
    <w:p w14:paraId="5A130CD3" w14:textId="35122114" w:rsidR="003C3732" w:rsidRPr="005C10A9" w:rsidRDefault="003C3732" w:rsidP="004277D9">
      <w:pPr>
        <w:pStyle w:val="NoSpacing"/>
        <w:jc w:val="center"/>
      </w:pPr>
      <w:r w:rsidRPr="005C10A9">
        <w:t>Charitable Estate and Gift Planning Specialists</w:t>
      </w:r>
    </w:p>
    <w:p w14:paraId="27DFE188" w14:textId="77777777" w:rsidR="003C3732" w:rsidRPr="005C10A9" w:rsidRDefault="003C3732" w:rsidP="004277D9">
      <w:pPr>
        <w:pStyle w:val="NoSpacing"/>
        <w:jc w:val="center"/>
      </w:pPr>
      <w:r w:rsidRPr="005C10A9">
        <w:t>15 Pinewild Drive, P.O. Box 3335</w:t>
      </w:r>
    </w:p>
    <w:p w14:paraId="52DBE0F1" w14:textId="77777777" w:rsidR="003C3732" w:rsidRPr="005C10A9" w:rsidRDefault="003C3732" w:rsidP="004277D9">
      <w:pPr>
        <w:pStyle w:val="NoSpacing"/>
        <w:jc w:val="center"/>
      </w:pPr>
      <w:r w:rsidRPr="005C10A9">
        <w:t>Pinehurst, North Carolina 28374-3335</w:t>
      </w:r>
    </w:p>
    <w:p w14:paraId="585162C7" w14:textId="77777777" w:rsidR="003C3732" w:rsidRPr="005C10A9" w:rsidRDefault="003C3732" w:rsidP="004277D9">
      <w:pPr>
        <w:pStyle w:val="NoSpacing"/>
        <w:jc w:val="center"/>
      </w:pPr>
      <w:r w:rsidRPr="005C10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475558" wp14:editId="5CA1DDC5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6418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0pt" to="0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  <w:r w:rsidRPr="005C10A9">
        <w:t xml:space="preserve">Phone 910-295-6800 </w:t>
      </w:r>
      <w:r>
        <w:t>…..</w:t>
      </w:r>
      <w:r w:rsidRPr="005C10A9">
        <w:t xml:space="preserve"> Fax 910-295-6866</w:t>
      </w:r>
    </w:p>
    <w:p w14:paraId="7D03C328" w14:textId="77777777" w:rsidR="003C3732" w:rsidRPr="00D361FC" w:rsidRDefault="003C3732">
      <w:pPr>
        <w:rPr>
          <w:b/>
        </w:rPr>
      </w:pPr>
    </w:p>
    <w:sectPr w:rsidR="003C3732" w:rsidRPr="00D361F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3D3E" w14:textId="77777777" w:rsidR="00623C91" w:rsidRDefault="00623C91" w:rsidP="00623C91">
      <w:pPr>
        <w:spacing w:after="0" w:line="240" w:lineRule="auto"/>
      </w:pPr>
      <w:r>
        <w:separator/>
      </w:r>
    </w:p>
  </w:endnote>
  <w:endnote w:type="continuationSeparator" w:id="0">
    <w:p w14:paraId="45F12BA7" w14:textId="77777777" w:rsidR="00623C91" w:rsidRDefault="00623C91" w:rsidP="006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007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F17F72" w14:textId="0F77C04D" w:rsidR="00623C91" w:rsidRDefault="00623C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32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9B39AF" w14:textId="77777777" w:rsidR="00623C91" w:rsidRDefault="00623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FE6C" w14:textId="77777777" w:rsidR="00623C91" w:rsidRDefault="00623C91" w:rsidP="00623C91">
      <w:pPr>
        <w:spacing w:after="0" w:line="240" w:lineRule="auto"/>
      </w:pPr>
      <w:r>
        <w:separator/>
      </w:r>
    </w:p>
  </w:footnote>
  <w:footnote w:type="continuationSeparator" w:id="0">
    <w:p w14:paraId="0B7C90B5" w14:textId="77777777" w:rsidR="00623C91" w:rsidRDefault="00623C91" w:rsidP="0062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19"/>
    <w:rsid w:val="00011873"/>
    <w:rsid w:val="00063919"/>
    <w:rsid w:val="000F21BF"/>
    <w:rsid w:val="00287A71"/>
    <w:rsid w:val="003110E1"/>
    <w:rsid w:val="0034532E"/>
    <w:rsid w:val="003C3732"/>
    <w:rsid w:val="004277D9"/>
    <w:rsid w:val="004418D0"/>
    <w:rsid w:val="0053250C"/>
    <w:rsid w:val="00540FB0"/>
    <w:rsid w:val="00623C91"/>
    <w:rsid w:val="00674201"/>
    <w:rsid w:val="0075324A"/>
    <w:rsid w:val="00765F65"/>
    <w:rsid w:val="00790553"/>
    <w:rsid w:val="007A78C1"/>
    <w:rsid w:val="008A5A59"/>
    <w:rsid w:val="00A477E0"/>
    <w:rsid w:val="00A777B3"/>
    <w:rsid w:val="00AB19D7"/>
    <w:rsid w:val="00AF3958"/>
    <w:rsid w:val="00B16408"/>
    <w:rsid w:val="00B364EE"/>
    <w:rsid w:val="00B95EEB"/>
    <w:rsid w:val="00C05AF3"/>
    <w:rsid w:val="00C42D1A"/>
    <w:rsid w:val="00C8291D"/>
    <w:rsid w:val="00D361FC"/>
    <w:rsid w:val="00D73499"/>
    <w:rsid w:val="00D8057C"/>
    <w:rsid w:val="00DA0D7E"/>
    <w:rsid w:val="00E82A39"/>
    <w:rsid w:val="00E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C8F9"/>
  <w15:chartTrackingRefBased/>
  <w15:docId w15:val="{C2428D6A-5AFF-4A2A-8096-7B37176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39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9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364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77D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yperlink" Target="mailto:james@connellandassoc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Connell</dc:creator>
  <cp:keywords/>
  <dc:description/>
  <cp:lastModifiedBy>James Connell</cp:lastModifiedBy>
  <cp:revision>2</cp:revision>
  <cp:lastPrinted>2017-02-14T20:38:00Z</cp:lastPrinted>
  <dcterms:created xsi:type="dcterms:W3CDTF">2017-02-15T17:03:00Z</dcterms:created>
  <dcterms:modified xsi:type="dcterms:W3CDTF">2017-02-15T17:03:00Z</dcterms:modified>
</cp:coreProperties>
</file>